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E1F75" w14:textId="77777777" w:rsidR="003D509C" w:rsidRDefault="003D509C" w:rsidP="003D509C">
      <w:pPr>
        <w:pStyle w:val="NormalWeb"/>
        <w:shd w:val="clear" w:color="auto" w:fill="FFFFFF"/>
      </w:pPr>
      <w:bookmarkStart w:id="0" w:name="_GoBack"/>
      <w:bookmarkEnd w:id="0"/>
      <w:r>
        <w:rPr>
          <w:rFonts w:ascii="TimesNewRomanPS" w:hAnsi="TimesNewRomanPS"/>
          <w:b/>
          <w:bCs/>
        </w:rPr>
        <w:t xml:space="preserve">HUM10040 Academic Writing in Practice </w:t>
      </w:r>
    </w:p>
    <w:p w14:paraId="6CA99E99" w14:textId="77777777" w:rsidR="003D509C" w:rsidRDefault="003D509C" w:rsidP="003D509C">
      <w:pPr>
        <w:pStyle w:val="NormalWeb"/>
        <w:shd w:val="clear" w:color="auto" w:fill="FFFFFF"/>
      </w:pPr>
      <w:r>
        <w:rPr>
          <w:rFonts w:ascii="TimesNewRomanPS" w:hAnsi="TimesNewRomanPS"/>
          <w:b/>
          <w:bCs/>
        </w:rPr>
        <w:t xml:space="preserve">Module Description </w:t>
      </w:r>
    </w:p>
    <w:p w14:paraId="42363E48" w14:textId="77777777" w:rsidR="003D509C" w:rsidRDefault="003D509C" w:rsidP="003D509C">
      <w:pPr>
        <w:pStyle w:val="NormalWeb"/>
        <w:shd w:val="clear" w:color="auto" w:fill="FFFFFF"/>
      </w:pPr>
      <w:r>
        <w:rPr>
          <w:rFonts w:ascii="TimesNewRomanPSMT" w:hAnsi="TimesNewRomanPSMT" w:cs="TimesNewRomanPSMT"/>
        </w:rPr>
        <w:t xml:space="preserve">The Academic Writing in Practice module uses practice-based learning methods in order to introduce analytical frameworks that will show how writing and reading are interrelated and core to critical thinking. The module focuses on the elements of essay construction needed to produce an effective academic argument by exploring cohesive research practices which will include the evaluation of the incorporation of secondary material, citation issues, and academic integrity. Therefore, this module provides students in the Humanities with the foundation for cultivating your essay writing skills to better ensure success throughout the period of your degree and the many jobs and careers that require good writing skills. </w:t>
      </w:r>
    </w:p>
    <w:p w14:paraId="36001CCF" w14:textId="77777777" w:rsidR="003D509C" w:rsidRDefault="003D509C" w:rsidP="003D509C">
      <w:pPr>
        <w:pStyle w:val="NormalWeb"/>
        <w:shd w:val="clear" w:color="auto" w:fill="FFFFFF"/>
      </w:pPr>
      <w:r>
        <w:rPr>
          <w:rFonts w:ascii="TimesNewRomanPS" w:hAnsi="TimesNewRomanPS"/>
          <w:b/>
          <w:bCs/>
        </w:rPr>
        <w:t xml:space="preserve">Learning Outcomes </w:t>
      </w:r>
    </w:p>
    <w:p w14:paraId="3D5E0412" w14:textId="77777777" w:rsidR="003D509C" w:rsidRDefault="003D509C" w:rsidP="003D509C">
      <w:pPr>
        <w:pStyle w:val="NormalWeb"/>
        <w:shd w:val="clear" w:color="auto" w:fill="FFFFFF"/>
      </w:pPr>
      <w:r>
        <w:rPr>
          <w:rFonts w:ascii="TimesNewRomanPSMT" w:hAnsi="TimesNewRomanPSMT" w:cs="TimesNewRomanPSMT"/>
        </w:rPr>
        <w:t>On completion of the module, students will be able to:</w:t>
      </w:r>
      <w:r>
        <w:rPr>
          <w:rFonts w:ascii="TimesNewRomanPSMT" w:hAnsi="TimesNewRomanPSMT" w:cs="TimesNewRomanPSMT"/>
        </w:rPr>
        <w:br/>
        <w:t>Understand what constitutes a coherent, structured academic essay.</w:t>
      </w:r>
      <w:r>
        <w:rPr>
          <w:rFonts w:ascii="TimesNewRomanPSMT" w:hAnsi="TimesNewRomanPSMT" w:cs="TimesNewRomanPSMT"/>
        </w:rPr>
        <w:br/>
        <w:t>Appreciate the relationship between reading and writing.</w:t>
      </w:r>
      <w:r>
        <w:rPr>
          <w:rFonts w:ascii="TimesNewRomanPSMT" w:hAnsi="TimesNewRomanPSMT" w:cs="TimesNewRomanPSMT"/>
        </w:rPr>
        <w:br/>
        <w:t>Critically evaluate and analyse sources</w:t>
      </w:r>
      <w:r>
        <w:rPr>
          <w:rFonts w:ascii="TimesNewRomanPSMT" w:hAnsi="TimesNewRomanPSMT" w:cs="TimesNewRomanPSMT"/>
        </w:rPr>
        <w:br/>
        <w:t>Incorporate drafting and editing practices into the writing process and understand the value of these skills.</w:t>
      </w:r>
      <w:r>
        <w:rPr>
          <w:rFonts w:ascii="TimesNewRomanPSMT" w:hAnsi="TimesNewRomanPSMT" w:cs="TimesNewRomanPSMT"/>
        </w:rPr>
        <w:br/>
        <w:t>Apply methodologies to research practices and academic writing practices</w:t>
      </w:r>
      <w:r>
        <w:rPr>
          <w:rFonts w:ascii="TimesNewRomanPSMT" w:hAnsi="TimesNewRomanPSMT" w:cs="TimesNewRomanPSMT"/>
        </w:rPr>
        <w:br/>
        <w:t>Present a convincing and valid piece of academic writing</w:t>
      </w:r>
      <w:r>
        <w:rPr>
          <w:rFonts w:ascii="TimesNewRomanPSMT" w:hAnsi="TimesNewRomanPSMT" w:cs="TimesNewRomanPSMT"/>
        </w:rPr>
        <w:br/>
        <w:t xml:space="preserve">Utilise the </w:t>
      </w:r>
      <w:r>
        <w:rPr>
          <w:rFonts w:ascii="TimesNewRomanPS" w:hAnsi="TimesNewRomanPS"/>
          <w:i/>
          <w:iCs/>
        </w:rPr>
        <w:t xml:space="preserve">Academic Writing in Practice </w:t>
      </w:r>
      <w:r>
        <w:rPr>
          <w:rFonts w:ascii="TimesNewRomanPSMT" w:hAnsi="TimesNewRomanPSMT" w:cs="TimesNewRomanPSMT"/>
        </w:rPr>
        <w:t xml:space="preserve">module which provides students in the Humanities with the tools for a higher level of achievement in assignments comprising continuous assessment and contributing to your overall GPA result. </w:t>
      </w:r>
    </w:p>
    <w:p w14:paraId="5ACEFC55" w14:textId="77777777" w:rsidR="003D509C" w:rsidRDefault="003D509C" w:rsidP="003D509C">
      <w:pPr>
        <w:pStyle w:val="NormalWeb"/>
        <w:shd w:val="clear" w:color="auto" w:fill="FFFFFF"/>
      </w:pPr>
      <w:r>
        <w:rPr>
          <w:rFonts w:ascii="TimesNewRomanPS" w:hAnsi="TimesNewRomanPS"/>
          <w:b/>
          <w:bCs/>
        </w:rPr>
        <w:t xml:space="preserve">Teaching Methods </w:t>
      </w:r>
    </w:p>
    <w:p w14:paraId="51B321E5" w14:textId="77777777" w:rsidR="003D509C" w:rsidRDefault="003D509C" w:rsidP="003D509C">
      <w:pPr>
        <w:pStyle w:val="NormalWeb"/>
        <w:shd w:val="clear" w:color="auto" w:fill="FFFFFF"/>
      </w:pPr>
      <w:r>
        <w:rPr>
          <w:rFonts w:ascii="TimesNewRomanPSMT" w:hAnsi="TimesNewRomanPSMT" w:cs="TimesNewRomanPSMT"/>
        </w:rPr>
        <w:t xml:space="preserve">A weekly practice-based workshop will be supported each week by a thematic lecture on a core writing skill. Throughout the module an emphasis will be placed on developing writing abilities in ways that adequately reflect and support your unique critical insights and capability as a researcher. </w:t>
      </w:r>
    </w:p>
    <w:p w14:paraId="60281FF0" w14:textId="77777777" w:rsidR="003D509C" w:rsidRDefault="003D509C" w:rsidP="003D509C">
      <w:pPr>
        <w:pStyle w:val="NormalWeb"/>
        <w:shd w:val="clear" w:color="auto" w:fill="FFFFFF"/>
      </w:pPr>
      <w:r>
        <w:rPr>
          <w:rFonts w:ascii="TimesNewRomanPS" w:hAnsi="TimesNewRomanPS"/>
          <w:b/>
          <w:bCs/>
        </w:rPr>
        <w:t xml:space="preserve">Teaching Team </w:t>
      </w:r>
    </w:p>
    <w:p w14:paraId="7E5E1A8B" w14:textId="77777777" w:rsidR="003D509C" w:rsidRDefault="003D509C" w:rsidP="003D509C">
      <w:pPr>
        <w:pStyle w:val="NormalWeb"/>
        <w:shd w:val="clear" w:color="auto" w:fill="FFFFFF"/>
      </w:pPr>
      <w:r>
        <w:rPr>
          <w:rFonts w:ascii="TimesNewRomanPS" w:hAnsi="TimesNewRomanPS"/>
          <w:i/>
          <w:iCs/>
        </w:rPr>
        <w:t xml:space="preserve">Lecturers/Coordinators </w:t>
      </w:r>
    </w:p>
    <w:p w14:paraId="7B2D36F6" w14:textId="77777777" w:rsidR="003D509C" w:rsidRDefault="003D509C" w:rsidP="003D509C">
      <w:pPr>
        <w:pStyle w:val="NormalWeb"/>
        <w:shd w:val="clear" w:color="auto" w:fill="FFFFFF"/>
      </w:pPr>
      <w:r>
        <w:rPr>
          <w:rFonts w:ascii="TimesNewRomanPSMT" w:hAnsi="TimesNewRomanPSMT" w:cs="TimesNewRomanPSMT"/>
        </w:rPr>
        <w:t xml:space="preserve">Scott Hamilton (SH) Audrey McNamara (AM) </w:t>
      </w:r>
      <w:r>
        <w:rPr>
          <w:rFonts w:ascii="TimesNewRomanPS" w:hAnsi="TimesNewRomanPS"/>
          <w:i/>
          <w:iCs/>
        </w:rPr>
        <w:t xml:space="preserve">Additional Lecturer </w:t>
      </w:r>
      <w:proofErr w:type="spellStart"/>
      <w:r>
        <w:rPr>
          <w:rFonts w:ascii="TimesNewRomanPSMT" w:hAnsi="TimesNewRomanPSMT" w:cs="TimesNewRomanPSMT"/>
        </w:rPr>
        <w:t>Zeljka</w:t>
      </w:r>
      <w:proofErr w:type="spellEnd"/>
      <w:r>
        <w:rPr>
          <w:rFonts w:ascii="TimesNewRomanPSMT" w:hAnsi="TimesNewRomanPSMT" w:cs="TimesNewRomanPSMT"/>
        </w:rPr>
        <w:t xml:space="preserve"> </w:t>
      </w:r>
      <w:proofErr w:type="spellStart"/>
      <w:r>
        <w:rPr>
          <w:rFonts w:ascii="TimesNewRomanPSMT" w:hAnsi="TimesNewRomanPSMT" w:cs="TimesNewRomanPSMT"/>
        </w:rPr>
        <w:t>Doljanin</w:t>
      </w:r>
      <w:proofErr w:type="spellEnd"/>
      <w:r>
        <w:rPr>
          <w:rFonts w:ascii="TimesNewRomanPSMT" w:hAnsi="TimesNewRomanPSMT" w:cs="TimesNewRomanPSMT"/>
        </w:rPr>
        <w:t xml:space="preserve"> (ZD) </w:t>
      </w:r>
    </w:p>
    <w:p w14:paraId="10A26DF0" w14:textId="77777777" w:rsidR="003D509C" w:rsidRDefault="003D509C" w:rsidP="003D509C">
      <w:pPr>
        <w:pStyle w:val="NormalWeb"/>
        <w:shd w:val="clear" w:color="auto" w:fill="FFFFFF"/>
      </w:pPr>
      <w:r>
        <w:rPr>
          <w:rFonts w:ascii="TimesNewRomanPS" w:hAnsi="TimesNewRomanPS"/>
          <w:b/>
          <w:bCs/>
        </w:rPr>
        <w:t xml:space="preserve">Assessment </w:t>
      </w:r>
    </w:p>
    <w:p w14:paraId="610C4FB7" w14:textId="06A097A5" w:rsidR="00B658A3" w:rsidRDefault="003D509C" w:rsidP="003D509C">
      <w:pPr>
        <w:pStyle w:val="NormalWeb"/>
        <w:shd w:val="clear" w:color="auto" w:fill="FFFFFF"/>
        <w:rPr>
          <w:rFonts w:ascii="TimesNewRomanPSMT" w:hAnsi="TimesNewRomanPSMT" w:cs="TimesNewRomanPSMT"/>
        </w:rPr>
      </w:pPr>
      <w:r>
        <w:rPr>
          <w:rFonts w:ascii="TimesNewRomanPSMT" w:hAnsi="TimesNewRomanPSMT" w:cs="TimesNewRomanPSMT"/>
        </w:rPr>
        <w:t xml:space="preserve">Attendance: 15% </w:t>
      </w:r>
      <w:r w:rsidR="00F17645">
        <w:rPr>
          <w:rFonts w:ascii="TimesNewRomanPSMT" w:hAnsi="TimesNewRomanPSMT" w:cs="TimesNewRomanPSMT"/>
        </w:rPr>
        <w:t xml:space="preserve">Introduction/Proposal </w:t>
      </w:r>
      <w:r w:rsidR="00E4161E">
        <w:rPr>
          <w:rFonts w:ascii="TimesNewRomanPSMT" w:hAnsi="TimesNewRomanPSMT" w:cs="TimesNewRomanPSMT"/>
        </w:rPr>
        <w:t>(</w:t>
      </w:r>
      <w:r w:rsidR="001620C4">
        <w:rPr>
          <w:rFonts w:ascii="TimesNewRomanPSMT" w:hAnsi="TimesNewRomanPSMT" w:cs="TimesNewRomanPSMT"/>
        </w:rPr>
        <w:t>5 sentences</w:t>
      </w:r>
      <w:r w:rsidR="00E4161E">
        <w:rPr>
          <w:rFonts w:ascii="TimesNewRomanPSMT" w:hAnsi="TimesNewRomanPSMT" w:cs="TimesNewRomanPSMT"/>
        </w:rPr>
        <w:t>) 15%</w:t>
      </w:r>
      <w:r>
        <w:rPr>
          <w:rFonts w:ascii="TimesNewRomanPSMT" w:hAnsi="TimesNewRomanPSMT" w:cs="TimesNewRomanPSMT"/>
        </w:rPr>
        <w:t xml:space="preserve"> Midterm Essay</w:t>
      </w:r>
      <w:r w:rsidR="00E4161E">
        <w:rPr>
          <w:rFonts w:ascii="TimesNewRomanPSMT" w:hAnsi="TimesNewRomanPSMT" w:cs="TimesNewRomanPSMT"/>
        </w:rPr>
        <w:t xml:space="preserve"> Version 1 (1500 words)</w:t>
      </w:r>
      <w:r w:rsidR="00A6636A">
        <w:rPr>
          <w:rFonts w:ascii="TimesNewRomanPSMT" w:hAnsi="TimesNewRomanPSMT" w:cs="TimesNewRomanPSMT"/>
        </w:rPr>
        <w:t xml:space="preserve"> </w:t>
      </w:r>
      <w:r w:rsidR="00E4161E">
        <w:rPr>
          <w:rFonts w:ascii="TimesNewRomanPSMT" w:hAnsi="TimesNewRomanPSMT" w:cs="TimesNewRomanPSMT"/>
        </w:rPr>
        <w:t>20</w:t>
      </w:r>
      <w:r>
        <w:rPr>
          <w:rFonts w:ascii="TimesNewRomanPSMT" w:hAnsi="TimesNewRomanPSMT" w:cs="TimesNewRomanPSMT"/>
        </w:rPr>
        <w:t xml:space="preserve">% </w:t>
      </w:r>
      <w:r w:rsidR="00E4161E">
        <w:rPr>
          <w:rFonts w:ascii="TimesNewRomanPSMT" w:hAnsi="TimesNewRomanPSMT" w:cs="TimesNewRomanPSMT"/>
        </w:rPr>
        <w:t xml:space="preserve">  </w:t>
      </w:r>
      <w:r>
        <w:rPr>
          <w:rFonts w:ascii="TimesNewRomanPSMT" w:hAnsi="TimesNewRomanPSMT" w:cs="TimesNewRomanPSMT"/>
        </w:rPr>
        <w:t>End of term Essay</w:t>
      </w:r>
      <w:r w:rsidR="00A6636A">
        <w:rPr>
          <w:rFonts w:ascii="TimesNewRomanPSMT" w:hAnsi="TimesNewRomanPSMT" w:cs="TimesNewRomanPSMT"/>
        </w:rPr>
        <w:t xml:space="preserve"> Extended</w:t>
      </w:r>
      <w:r>
        <w:rPr>
          <w:rFonts w:ascii="TimesNewRomanPSMT" w:hAnsi="TimesNewRomanPSMT" w:cs="TimesNewRomanPSMT"/>
        </w:rPr>
        <w:t xml:space="preserve"> (2,</w:t>
      </w:r>
      <w:r w:rsidR="00A6636A">
        <w:rPr>
          <w:rFonts w:ascii="TimesNewRomanPSMT" w:hAnsi="TimesNewRomanPSMT" w:cs="TimesNewRomanPSMT"/>
        </w:rPr>
        <w:t>5</w:t>
      </w:r>
      <w:r>
        <w:rPr>
          <w:rFonts w:ascii="TimesNewRomanPSMT" w:hAnsi="TimesNewRomanPSMT" w:cs="TimesNewRomanPSMT"/>
        </w:rPr>
        <w:t xml:space="preserve">00 words): 35% </w:t>
      </w:r>
    </w:p>
    <w:p w14:paraId="2E29C44E" w14:textId="46A8AEDB" w:rsidR="00B658A3" w:rsidRDefault="00F04422" w:rsidP="003D509C">
      <w:pPr>
        <w:pStyle w:val="NormalWeb"/>
        <w:shd w:val="clear" w:color="auto" w:fill="FFFFFF"/>
        <w:rPr>
          <w:rFonts w:ascii="TimesNewRomanPSMT" w:hAnsi="TimesNewRomanPSMT" w:cs="TimesNewRomanPSMT"/>
        </w:rPr>
      </w:pPr>
      <w:r>
        <w:rPr>
          <w:rFonts w:ascii="TimesNewRomanPSMT" w:hAnsi="TimesNewRomanPSMT" w:cs="TimesNewRomanPSMT"/>
        </w:rPr>
        <w:t>Continuous</w:t>
      </w:r>
      <w:r w:rsidR="00B658A3">
        <w:rPr>
          <w:rFonts w:ascii="TimesNewRomanPSMT" w:hAnsi="TimesNewRomanPSMT" w:cs="TimesNewRomanPSMT"/>
        </w:rPr>
        <w:t xml:space="preserve"> Assessment – 15%</w:t>
      </w:r>
    </w:p>
    <w:p w14:paraId="15989DC9" w14:textId="77777777" w:rsidR="00413B42" w:rsidRDefault="00413B42" w:rsidP="003D509C">
      <w:pPr>
        <w:pStyle w:val="NormalWeb"/>
        <w:shd w:val="clear" w:color="auto" w:fill="FFFFFF"/>
        <w:rPr>
          <w:rFonts w:ascii="TimesNewRomanPSMT" w:hAnsi="TimesNewRomanPSMT" w:cs="TimesNewRomanPSMT"/>
        </w:rPr>
      </w:pPr>
    </w:p>
    <w:p w14:paraId="1AE9F14D" w14:textId="77777777" w:rsidR="00413B42" w:rsidRDefault="00413B42" w:rsidP="003D509C">
      <w:pPr>
        <w:pStyle w:val="NormalWeb"/>
        <w:shd w:val="clear" w:color="auto" w:fill="FFFFFF"/>
        <w:rPr>
          <w:rFonts w:ascii="TimesNewRomanPSMT" w:hAnsi="TimesNewRomanPSMT" w:cs="TimesNewRomanPSMT"/>
        </w:rPr>
      </w:pPr>
    </w:p>
    <w:p w14:paraId="125BF7C5" w14:textId="77777777" w:rsidR="00413B42" w:rsidRDefault="00413B42" w:rsidP="003D509C">
      <w:pPr>
        <w:pStyle w:val="NormalWeb"/>
        <w:shd w:val="clear" w:color="auto" w:fill="FFFFFF"/>
        <w:rPr>
          <w:rFonts w:ascii="TimesNewRomanPS" w:hAnsi="TimesNewRomanPS"/>
          <w:b/>
          <w:bCs/>
        </w:rPr>
      </w:pPr>
    </w:p>
    <w:p w14:paraId="0083F448" w14:textId="77777777" w:rsidR="003D509C" w:rsidRDefault="003D509C" w:rsidP="003D509C">
      <w:pPr>
        <w:pStyle w:val="NormalWeb"/>
        <w:shd w:val="clear" w:color="auto" w:fill="FFFFFF"/>
      </w:pPr>
      <w:r>
        <w:rPr>
          <w:rFonts w:ascii="TimesNewRomanPS" w:hAnsi="TimesNewRomanPS"/>
          <w:b/>
          <w:bCs/>
        </w:rPr>
        <w:t xml:space="preserve">Teaching Schedule </w:t>
      </w:r>
    </w:p>
    <w:p w14:paraId="613F1A70" w14:textId="0A946BF6" w:rsidR="003D509C" w:rsidRDefault="003D509C" w:rsidP="003D509C">
      <w:pPr>
        <w:pStyle w:val="NormalWeb"/>
        <w:shd w:val="clear" w:color="auto" w:fill="FFFFFF"/>
      </w:pPr>
      <w:r>
        <w:rPr>
          <w:rFonts w:ascii="TimesNewRomanPSMT" w:hAnsi="TimesNewRomanPSMT" w:cs="TimesNewRomanPSMT"/>
        </w:rPr>
        <w:t>Lectures: Mondays 11:00 am [</w:t>
      </w:r>
      <w:r w:rsidR="00810591">
        <w:rPr>
          <w:rFonts w:ascii="TimesNewRomanPSMT" w:hAnsi="TimesNewRomanPSMT" w:cs="TimesNewRomanPSMT"/>
        </w:rPr>
        <w:t>A105</w:t>
      </w:r>
      <w:r>
        <w:rPr>
          <w:rFonts w:ascii="TimesNewRomanPSMT" w:hAnsi="TimesNewRomanPSMT" w:cs="TimesNewRomanPSMT"/>
        </w:rPr>
        <w:t>]</w:t>
      </w:r>
      <w:r>
        <w:rPr>
          <w:rFonts w:ascii="TimesNewRomanPSMT" w:hAnsi="TimesNewRomanPSMT" w:cs="TimesNewRomanPSMT"/>
        </w:rPr>
        <w:br/>
        <w:t xml:space="preserve">Workshops: Mondays 12:00 pm </w:t>
      </w:r>
      <w:r w:rsidR="00F17645">
        <w:rPr>
          <w:rFonts w:ascii="TimesNewRomanPSMT" w:hAnsi="TimesNewRomanPSMT" w:cs="TimesNewRomanPSMT"/>
        </w:rPr>
        <w:t>Bu</w:t>
      </w:r>
      <w:r w:rsidR="00810591">
        <w:rPr>
          <w:rFonts w:ascii="TimesNewRomanPSMT" w:hAnsi="TimesNewRomanPSMT" w:cs="TimesNewRomanPSMT"/>
        </w:rPr>
        <w:t>J112</w:t>
      </w:r>
      <w:r>
        <w:rPr>
          <w:rFonts w:ascii="TimesNewRomanPSMT" w:hAnsi="TimesNewRomanPSMT" w:cs="TimesNewRomanPSMT"/>
        </w:rPr>
        <w:t>(AM); 14:00 pm [</w:t>
      </w:r>
      <w:r w:rsidR="00810591">
        <w:rPr>
          <w:rFonts w:ascii="TimesNewRomanPSMT" w:hAnsi="TimesNewRomanPSMT" w:cs="TimesNewRomanPSMT"/>
        </w:rPr>
        <w:t>L241</w:t>
      </w:r>
      <w:r w:rsidR="00F17645">
        <w:rPr>
          <w:rFonts w:ascii="TimesNewRomanPSMT" w:hAnsi="TimesNewRomanPSMT" w:cs="TimesNewRomanPSMT"/>
        </w:rPr>
        <w:t>]</w:t>
      </w:r>
      <w:r w:rsidR="00C54F33">
        <w:rPr>
          <w:rFonts w:ascii="TimesNewRomanPSMT" w:hAnsi="TimesNewRomanPSMT" w:cs="TimesNewRomanPSMT"/>
        </w:rPr>
        <w:t xml:space="preserve"> </w:t>
      </w:r>
      <w:r>
        <w:rPr>
          <w:rFonts w:ascii="TimesNewRomanPSMT" w:hAnsi="TimesNewRomanPSMT" w:cs="TimesNewRomanPSMT"/>
        </w:rPr>
        <w:t xml:space="preserve">(SH) </w:t>
      </w:r>
    </w:p>
    <w:p w14:paraId="309A9755" w14:textId="47114E41" w:rsidR="000A0961" w:rsidRDefault="003D509C" w:rsidP="003D509C">
      <w:pPr>
        <w:pStyle w:val="NormalWeb"/>
        <w:shd w:val="clear" w:color="auto" w:fill="FFFFFF"/>
        <w:rPr>
          <w:rFonts w:ascii="TimesNewRomanPSMT" w:hAnsi="TimesNewRomanPSMT" w:cs="TimesNewRomanPSMT"/>
        </w:rPr>
      </w:pPr>
      <w:r>
        <w:rPr>
          <w:rFonts w:ascii="TimesNewRomanPS" w:hAnsi="TimesNewRomanPS"/>
          <w:b/>
          <w:bCs/>
        </w:rPr>
        <w:t xml:space="preserve">1: </w:t>
      </w:r>
      <w:r>
        <w:rPr>
          <w:rFonts w:ascii="TimesNewRomanPSMT" w:hAnsi="TimesNewRomanPSMT" w:cs="TimesNewRomanPSMT"/>
        </w:rPr>
        <w:t>(</w:t>
      </w:r>
      <w:r w:rsidR="00DC46E1">
        <w:rPr>
          <w:rFonts w:ascii="TimesNewRomanPSMT" w:hAnsi="TimesNewRomanPSMT" w:cs="TimesNewRomanPSMT"/>
        </w:rPr>
        <w:t>10</w:t>
      </w:r>
      <w:r w:rsidR="00D44BE9">
        <w:rPr>
          <w:rFonts w:ascii="TimesNewRomanPSMT" w:hAnsi="TimesNewRomanPSMT" w:cs="TimesNewRomanPSMT"/>
        </w:rPr>
        <w:t>/0</w:t>
      </w:r>
      <w:r w:rsidR="00DC46E1">
        <w:rPr>
          <w:rFonts w:ascii="TimesNewRomanPSMT" w:hAnsi="TimesNewRomanPSMT" w:cs="TimesNewRomanPSMT"/>
        </w:rPr>
        <w:t>9</w:t>
      </w:r>
      <w:r w:rsidR="00D44BE9">
        <w:rPr>
          <w:rFonts w:ascii="TimesNewRomanPSMT" w:hAnsi="TimesNewRomanPSMT" w:cs="TimesNewRomanPSMT"/>
        </w:rPr>
        <w:t>/18)</w:t>
      </w:r>
      <w:r>
        <w:rPr>
          <w:rFonts w:ascii="TimesNewRomanPSMT" w:hAnsi="TimesNewRomanPSMT" w:cs="TimesNewRomanPSMT"/>
        </w:rPr>
        <w:t xml:space="preserve"> The Undergraduate Essay as a Contribution to the Academic Discussion (</w:t>
      </w:r>
      <w:r w:rsidR="009C10B1">
        <w:rPr>
          <w:rFonts w:ascii="TimesNewRomanPSMT" w:hAnsi="TimesNewRomanPSMT" w:cs="TimesNewRomanPSMT"/>
        </w:rPr>
        <w:t>SH</w:t>
      </w:r>
      <w:r>
        <w:rPr>
          <w:rFonts w:ascii="TimesNewRomanPSMT" w:hAnsi="TimesNewRomanPSMT" w:cs="TimesNewRomanPSMT"/>
        </w:rPr>
        <w:t>/AM) Humanities Essay Function and Structure (AM)</w:t>
      </w:r>
    </w:p>
    <w:p w14:paraId="3C5FEC9D" w14:textId="5C5083C5" w:rsidR="000A0961" w:rsidRDefault="000A0961" w:rsidP="003D509C">
      <w:pPr>
        <w:pStyle w:val="NormalWeb"/>
        <w:shd w:val="clear" w:color="auto" w:fill="FFFFFF"/>
        <w:rPr>
          <w:rFonts w:ascii="TimesNewRomanPSMT" w:hAnsi="TimesNewRomanPSMT" w:cs="TimesNewRomanPSMT"/>
        </w:rPr>
      </w:pPr>
      <w:r w:rsidRPr="000A0961">
        <w:rPr>
          <w:rFonts w:ascii="TimesNewRomanPSMT" w:hAnsi="TimesNewRomanPSMT" w:cs="TimesNewRomanPSMT"/>
          <w:b/>
        </w:rPr>
        <w:t>2</w:t>
      </w:r>
      <w:r w:rsidR="00D44BE9">
        <w:rPr>
          <w:rFonts w:ascii="TimesNewRomanPSMT" w:hAnsi="TimesNewRomanPSMT" w:cs="TimesNewRomanPSMT"/>
        </w:rPr>
        <w:t>. (</w:t>
      </w:r>
      <w:r w:rsidR="00DC46E1">
        <w:rPr>
          <w:rFonts w:ascii="TimesNewRomanPSMT" w:hAnsi="TimesNewRomanPSMT" w:cs="TimesNewRomanPSMT"/>
        </w:rPr>
        <w:t>17</w:t>
      </w:r>
      <w:r w:rsidR="00D44BE9">
        <w:rPr>
          <w:rFonts w:ascii="TimesNewRomanPSMT" w:hAnsi="TimesNewRomanPSMT" w:cs="TimesNewRomanPSMT"/>
        </w:rPr>
        <w:t>/0</w:t>
      </w:r>
      <w:r w:rsidR="00DC46E1">
        <w:rPr>
          <w:rFonts w:ascii="TimesNewRomanPSMT" w:hAnsi="TimesNewRomanPSMT" w:cs="TimesNewRomanPSMT"/>
        </w:rPr>
        <w:t>9</w:t>
      </w:r>
      <w:r w:rsidR="00D44BE9">
        <w:rPr>
          <w:rFonts w:ascii="TimesNewRomanPSMT" w:hAnsi="TimesNewRomanPSMT" w:cs="TimesNewRomanPSMT"/>
        </w:rPr>
        <w:t xml:space="preserve">/18) </w:t>
      </w:r>
      <w:r w:rsidRPr="000A0961">
        <w:rPr>
          <w:rFonts w:ascii="TimesNewRomanPSMT" w:hAnsi="TimesNewRomanPSMT" w:cs="TimesNewRomanPSMT"/>
        </w:rPr>
        <w:t>Research Methods</w:t>
      </w:r>
      <w:r>
        <w:rPr>
          <w:rFonts w:ascii="TimesNewRomanPSMT" w:hAnsi="TimesNewRomanPSMT" w:cs="TimesNewRomanPSMT"/>
        </w:rPr>
        <w:t xml:space="preserve"> Finding Secondary Sources</w:t>
      </w:r>
      <w:r w:rsidR="00BA3B99">
        <w:rPr>
          <w:rFonts w:ascii="TimesNewRomanPSMT" w:hAnsi="TimesNewRomanPSMT" w:cs="TimesNewRomanPSMT"/>
        </w:rPr>
        <w:t xml:space="preserve"> to use for analysing primary materials</w:t>
      </w:r>
      <w:r w:rsidR="00096FCD">
        <w:rPr>
          <w:rFonts w:ascii="TimesNewRomanPSMT" w:hAnsi="TimesNewRomanPSMT" w:cs="TimesNewRomanPSMT"/>
        </w:rPr>
        <w:t xml:space="preserve"> (AM)</w:t>
      </w:r>
    </w:p>
    <w:p w14:paraId="4CE621F0" w14:textId="6C1B8A5D" w:rsidR="003D509C" w:rsidRDefault="00C54F33" w:rsidP="003D509C">
      <w:pPr>
        <w:pStyle w:val="NormalWeb"/>
        <w:shd w:val="clear" w:color="auto" w:fill="FFFFFF"/>
        <w:rPr>
          <w:rFonts w:ascii="TimesNewRomanPSMT" w:hAnsi="TimesNewRomanPSMT" w:cs="TimesNewRomanPSMT"/>
        </w:rPr>
      </w:pPr>
      <w:r>
        <w:rPr>
          <w:rFonts w:ascii="TimesNewRomanPS" w:hAnsi="TimesNewRomanPS"/>
          <w:b/>
          <w:bCs/>
        </w:rPr>
        <w:t>3</w:t>
      </w:r>
      <w:r w:rsidR="003D509C">
        <w:rPr>
          <w:rFonts w:ascii="TimesNewRomanPS" w:hAnsi="TimesNewRomanPS"/>
          <w:b/>
          <w:bCs/>
        </w:rPr>
        <w:t>:</w:t>
      </w:r>
      <w:r w:rsidR="00C6560F">
        <w:rPr>
          <w:rFonts w:ascii="TimesNewRomanPS" w:hAnsi="TimesNewRomanPS"/>
          <w:b/>
          <w:bCs/>
        </w:rPr>
        <w:t xml:space="preserve"> </w:t>
      </w:r>
      <w:r w:rsidR="003D509C">
        <w:rPr>
          <w:rFonts w:ascii="TimesNewRomanPSMT" w:hAnsi="TimesNewRomanPSMT" w:cs="TimesNewRomanPSMT"/>
        </w:rPr>
        <w:t>(</w:t>
      </w:r>
      <w:r w:rsidR="00DC46E1">
        <w:rPr>
          <w:rFonts w:ascii="TimesNewRomanPSMT" w:hAnsi="TimesNewRomanPSMT" w:cs="TimesNewRomanPSMT"/>
        </w:rPr>
        <w:t>24</w:t>
      </w:r>
      <w:r w:rsidR="00D44BE9">
        <w:rPr>
          <w:rFonts w:ascii="TimesNewRomanPSMT" w:hAnsi="TimesNewRomanPSMT" w:cs="TimesNewRomanPSMT"/>
        </w:rPr>
        <w:t>/0</w:t>
      </w:r>
      <w:r w:rsidR="00DC46E1">
        <w:rPr>
          <w:rFonts w:ascii="TimesNewRomanPSMT" w:hAnsi="TimesNewRomanPSMT" w:cs="TimesNewRomanPSMT"/>
        </w:rPr>
        <w:t>9</w:t>
      </w:r>
      <w:r w:rsidR="00D44BE9">
        <w:rPr>
          <w:rFonts w:ascii="TimesNewRomanPSMT" w:hAnsi="TimesNewRomanPSMT" w:cs="TimesNewRomanPSMT"/>
        </w:rPr>
        <w:t>/18)</w:t>
      </w:r>
      <w:r w:rsidR="003D509C">
        <w:rPr>
          <w:rFonts w:ascii="TimesNewRomanPSMT" w:hAnsi="TimesNewRomanPSMT" w:cs="TimesNewRomanPSMT"/>
        </w:rPr>
        <w:t xml:space="preserve"> Assignment Thesis</w:t>
      </w:r>
      <w:r w:rsidR="00C6560F">
        <w:rPr>
          <w:rFonts w:ascii="TimesNewRomanPSMT" w:hAnsi="TimesNewRomanPSMT" w:cs="TimesNewRomanPSMT"/>
        </w:rPr>
        <w:t xml:space="preserve"> introduction</w:t>
      </w:r>
      <w:r w:rsidR="003D509C">
        <w:rPr>
          <w:rFonts w:ascii="TimesNewRomanPSMT" w:hAnsi="TimesNewRomanPSMT" w:cs="TimesNewRomanPSMT"/>
        </w:rPr>
        <w:t xml:space="preserve"> (SH) </w:t>
      </w:r>
    </w:p>
    <w:p w14:paraId="2D77DA8C" w14:textId="0EBECE9B" w:rsidR="00096FCD" w:rsidRPr="00096FCD" w:rsidRDefault="00096FCD" w:rsidP="003D509C">
      <w:pPr>
        <w:pStyle w:val="NormalWeb"/>
        <w:shd w:val="clear" w:color="auto" w:fill="FFFFFF"/>
      </w:pPr>
      <w:r>
        <w:rPr>
          <w:rFonts w:ascii="TimesNewRomanPS" w:hAnsi="TimesNewRomanPS"/>
          <w:b/>
          <w:bCs/>
        </w:rPr>
        <w:t xml:space="preserve">4: </w:t>
      </w:r>
      <w:r w:rsidR="00D44BE9">
        <w:rPr>
          <w:rFonts w:ascii="TimesNewRomanPSMT" w:hAnsi="TimesNewRomanPSMT" w:cs="TimesNewRomanPSMT"/>
        </w:rPr>
        <w:t>(</w:t>
      </w:r>
      <w:r w:rsidR="00DC46E1">
        <w:rPr>
          <w:rFonts w:ascii="TimesNewRomanPSMT" w:hAnsi="TimesNewRomanPSMT" w:cs="TimesNewRomanPSMT"/>
        </w:rPr>
        <w:t>01</w:t>
      </w:r>
      <w:r>
        <w:rPr>
          <w:rFonts w:ascii="TimesNewRomanPSMT" w:hAnsi="TimesNewRomanPSMT" w:cs="TimesNewRomanPSMT"/>
        </w:rPr>
        <w:t>/</w:t>
      </w:r>
      <w:r w:rsidR="00DC46E1">
        <w:rPr>
          <w:rFonts w:ascii="TimesNewRomanPSMT" w:hAnsi="TimesNewRomanPSMT" w:cs="TimesNewRomanPSMT"/>
        </w:rPr>
        <w:t>10</w:t>
      </w:r>
      <w:r>
        <w:rPr>
          <w:rFonts w:ascii="TimesNewRomanPSMT" w:hAnsi="TimesNewRomanPSMT" w:cs="TimesNewRomanPSMT"/>
        </w:rPr>
        <w:t>/1</w:t>
      </w:r>
      <w:r w:rsidR="00D44BE9">
        <w:rPr>
          <w:rFonts w:ascii="TimesNewRomanPSMT" w:hAnsi="TimesNewRomanPSMT" w:cs="TimesNewRomanPSMT"/>
        </w:rPr>
        <w:t>8</w:t>
      </w:r>
      <w:r>
        <w:rPr>
          <w:rFonts w:ascii="TimesNewRomanPSMT" w:hAnsi="TimesNewRomanPSMT" w:cs="TimesNewRomanPSMT"/>
        </w:rPr>
        <w:t>) Literature Analysis/Close Reading</w:t>
      </w:r>
      <w:r w:rsidR="00B63999">
        <w:rPr>
          <w:rFonts w:ascii="TimesNewRomanPSMT" w:hAnsi="TimesNewRomanPSMT" w:cs="TimesNewRomanPSMT"/>
        </w:rPr>
        <w:t xml:space="preserve"> Primary Text</w:t>
      </w:r>
      <w:r>
        <w:rPr>
          <w:rFonts w:ascii="TimesNewRomanPSMT" w:hAnsi="TimesNewRomanPSMT" w:cs="TimesNewRomanPSMT"/>
        </w:rPr>
        <w:t xml:space="preserve"> (AM)</w:t>
      </w:r>
    </w:p>
    <w:p w14:paraId="244F2C84" w14:textId="6C260E86" w:rsidR="003D509C" w:rsidRDefault="008935EF" w:rsidP="003D509C">
      <w:pPr>
        <w:pStyle w:val="NormalWeb"/>
        <w:shd w:val="clear" w:color="auto" w:fill="FFFFFF"/>
      </w:pPr>
      <w:r>
        <w:rPr>
          <w:rFonts w:ascii="TimesNewRomanPS" w:hAnsi="TimesNewRomanPS"/>
          <w:b/>
          <w:bCs/>
        </w:rPr>
        <w:t>5</w:t>
      </w:r>
      <w:r w:rsidR="003D509C">
        <w:rPr>
          <w:rFonts w:ascii="TimesNewRomanPS" w:hAnsi="TimesNewRomanPS"/>
          <w:b/>
          <w:bCs/>
        </w:rPr>
        <w:t xml:space="preserve">: </w:t>
      </w:r>
      <w:r w:rsidR="003D509C">
        <w:rPr>
          <w:rFonts w:ascii="TimesNewRomanPSMT" w:hAnsi="TimesNewRomanPSMT" w:cs="TimesNewRomanPSMT"/>
        </w:rPr>
        <w:t>(</w:t>
      </w:r>
      <w:r w:rsidR="00DC46E1">
        <w:rPr>
          <w:rFonts w:ascii="TimesNewRomanPSMT" w:hAnsi="TimesNewRomanPSMT" w:cs="TimesNewRomanPSMT"/>
        </w:rPr>
        <w:t>08</w:t>
      </w:r>
      <w:r w:rsidR="003D509C">
        <w:rPr>
          <w:rFonts w:ascii="TimesNewRomanPSMT" w:hAnsi="TimesNewRomanPSMT" w:cs="TimesNewRomanPSMT"/>
        </w:rPr>
        <w:t>/</w:t>
      </w:r>
      <w:r w:rsidR="00DC46E1">
        <w:rPr>
          <w:rFonts w:ascii="TimesNewRomanPSMT" w:hAnsi="TimesNewRomanPSMT" w:cs="TimesNewRomanPSMT"/>
        </w:rPr>
        <w:t>10</w:t>
      </w:r>
      <w:r w:rsidR="00D44BE9">
        <w:rPr>
          <w:rFonts w:ascii="TimesNewRomanPSMT" w:hAnsi="TimesNewRomanPSMT" w:cs="TimesNewRomanPSMT"/>
        </w:rPr>
        <w:t>/18)</w:t>
      </w:r>
      <w:r w:rsidR="003D509C">
        <w:rPr>
          <w:rFonts w:ascii="TimesNewRomanPSMT" w:hAnsi="TimesNewRomanPSMT" w:cs="TimesNewRomanPSMT"/>
        </w:rPr>
        <w:t xml:space="preserve"> </w:t>
      </w:r>
      <w:r>
        <w:rPr>
          <w:rFonts w:ascii="TimesNewRomanPSMT" w:hAnsi="TimesNewRomanPSMT" w:cs="TimesNewRomanPSMT"/>
        </w:rPr>
        <w:t>Textual Analysis</w:t>
      </w:r>
      <w:r w:rsidR="00C11FFF">
        <w:rPr>
          <w:rFonts w:ascii="TimesNewRomanPSMT" w:hAnsi="TimesNewRomanPSMT" w:cs="TimesNewRomanPSMT"/>
        </w:rPr>
        <w:t>/ Applying Theory/</w:t>
      </w:r>
      <w:r w:rsidR="003D509C">
        <w:rPr>
          <w:rFonts w:ascii="TimesNewRomanPSMT" w:hAnsi="TimesNewRomanPSMT" w:cs="TimesNewRomanPSMT"/>
        </w:rPr>
        <w:t xml:space="preserve"> </w:t>
      </w:r>
      <w:r w:rsidR="00B63999">
        <w:rPr>
          <w:rFonts w:ascii="TimesNewRomanPSMT" w:hAnsi="TimesNewRomanPSMT" w:cs="TimesNewRomanPSMT"/>
        </w:rPr>
        <w:t xml:space="preserve">Secondary Material </w:t>
      </w:r>
      <w:r w:rsidR="003D509C">
        <w:rPr>
          <w:rFonts w:ascii="TimesNewRomanPSMT" w:hAnsi="TimesNewRomanPSMT" w:cs="TimesNewRomanPSMT"/>
        </w:rPr>
        <w:t xml:space="preserve">(SH) </w:t>
      </w:r>
    </w:p>
    <w:p w14:paraId="0C6B77CF" w14:textId="534AF2E2" w:rsidR="003D509C" w:rsidRDefault="008935EF" w:rsidP="003D509C">
      <w:pPr>
        <w:pStyle w:val="NormalWeb"/>
        <w:shd w:val="clear" w:color="auto" w:fill="FFFFFF"/>
        <w:rPr>
          <w:rFonts w:ascii="TimesNewRomanPSMT" w:hAnsi="TimesNewRomanPSMT" w:cs="TimesNewRomanPSMT"/>
        </w:rPr>
      </w:pPr>
      <w:r>
        <w:rPr>
          <w:rFonts w:ascii="TimesNewRomanPS" w:hAnsi="TimesNewRomanPS"/>
          <w:b/>
          <w:bCs/>
        </w:rPr>
        <w:t>6</w:t>
      </w:r>
      <w:r w:rsidR="003D509C">
        <w:rPr>
          <w:rFonts w:ascii="TimesNewRomanPS" w:hAnsi="TimesNewRomanPS"/>
          <w:b/>
          <w:bCs/>
        </w:rPr>
        <w:t xml:space="preserve">: </w:t>
      </w:r>
      <w:r w:rsidR="003D509C">
        <w:rPr>
          <w:rFonts w:ascii="TimesNewRomanPSMT" w:hAnsi="TimesNewRomanPSMT" w:cs="TimesNewRomanPSMT"/>
        </w:rPr>
        <w:t>(</w:t>
      </w:r>
      <w:r w:rsidR="00DC46E1">
        <w:rPr>
          <w:rFonts w:ascii="TimesNewRomanPSMT" w:hAnsi="TimesNewRomanPSMT" w:cs="TimesNewRomanPSMT"/>
        </w:rPr>
        <w:t>14</w:t>
      </w:r>
      <w:r w:rsidR="003D509C">
        <w:rPr>
          <w:rFonts w:ascii="TimesNewRomanPSMT" w:hAnsi="TimesNewRomanPSMT" w:cs="TimesNewRomanPSMT"/>
        </w:rPr>
        <w:t>/</w:t>
      </w:r>
      <w:r w:rsidR="00DC46E1">
        <w:rPr>
          <w:rFonts w:ascii="TimesNewRomanPSMT" w:hAnsi="TimesNewRomanPSMT" w:cs="TimesNewRomanPSMT"/>
        </w:rPr>
        <w:t>10</w:t>
      </w:r>
      <w:r w:rsidR="00D44BE9">
        <w:rPr>
          <w:rFonts w:ascii="TimesNewRomanPSMT" w:hAnsi="TimesNewRomanPSMT" w:cs="TimesNewRomanPSMT"/>
        </w:rPr>
        <w:t xml:space="preserve">/18) </w:t>
      </w:r>
      <w:r w:rsidR="003E7CC3">
        <w:rPr>
          <w:rFonts w:ascii="TimesNewRomanPSMT" w:hAnsi="TimesNewRomanPSMT" w:cs="TimesNewRomanPSMT"/>
        </w:rPr>
        <w:t xml:space="preserve">Hannah Arendt </w:t>
      </w:r>
      <w:r w:rsidR="003D509C">
        <w:rPr>
          <w:rFonts w:ascii="TimesNewRomanPSMT" w:hAnsi="TimesNewRomanPSMT" w:cs="TimesNewRomanPSMT"/>
        </w:rPr>
        <w:t xml:space="preserve">Referencing and Bibliography (AM) </w:t>
      </w:r>
    </w:p>
    <w:p w14:paraId="16838275" w14:textId="3D4BC84F" w:rsidR="008935EF" w:rsidRDefault="008935EF" w:rsidP="003D509C">
      <w:pPr>
        <w:pStyle w:val="NormalWeb"/>
        <w:shd w:val="clear" w:color="auto" w:fill="FFFFFF"/>
        <w:rPr>
          <w:rFonts w:ascii="TimesNewRomanPSMT" w:hAnsi="TimesNewRomanPSMT" w:cs="TimesNewRomanPSMT"/>
        </w:rPr>
      </w:pPr>
      <w:r>
        <w:rPr>
          <w:rFonts w:ascii="TimesNewRomanPSMT" w:hAnsi="TimesNewRomanPSMT" w:cs="TimesNewRomanPSMT"/>
          <w:b/>
        </w:rPr>
        <w:t xml:space="preserve">7. </w:t>
      </w:r>
      <w:r w:rsidR="00DC46E1">
        <w:rPr>
          <w:rFonts w:ascii="TimesNewRomanPSMT" w:hAnsi="TimesNewRomanPSMT" w:cs="TimesNewRomanPSMT"/>
          <w:b/>
        </w:rPr>
        <w:t>(</w:t>
      </w:r>
      <w:r w:rsidR="00DC46E1">
        <w:rPr>
          <w:rFonts w:ascii="TimesNewRomanPSMT" w:hAnsi="TimesNewRomanPSMT" w:cs="TimesNewRomanPSMT"/>
        </w:rPr>
        <w:t>21</w:t>
      </w:r>
      <w:r w:rsidR="00DC46E1">
        <w:rPr>
          <w:rFonts w:ascii="TimesNewRomanPSMT" w:hAnsi="TimesNewRomanPSMT" w:cs="TimesNewRomanPSMT"/>
          <w:b/>
        </w:rPr>
        <w:t>/</w:t>
      </w:r>
      <w:r w:rsidR="00DC46E1">
        <w:rPr>
          <w:rFonts w:ascii="TimesNewRomanPSMT" w:hAnsi="TimesNewRomanPSMT" w:cs="TimesNewRomanPSMT"/>
        </w:rPr>
        <w:t xml:space="preserve">10/18) </w:t>
      </w:r>
      <w:r w:rsidR="00DC46E1" w:rsidRPr="008935EF">
        <w:rPr>
          <w:rFonts w:ascii="TimesNewRomanPSMT" w:hAnsi="TimesNewRomanPSMT" w:cs="TimesNewRomanPSMT"/>
        </w:rPr>
        <w:t>Evaluating secondary sources</w:t>
      </w:r>
      <w:r w:rsidR="00DC46E1">
        <w:rPr>
          <w:rFonts w:ascii="TimesNewRomanPSMT" w:hAnsi="TimesNewRomanPSMT" w:cs="TimesNewRomanPSMT"/>
        </w:rPr>
        <w:t xml:space="preserve"> (SH)</w:t>
      </w:r>
    </w:p>
    <w:p w14:paraId="31BC11C3" w14:textId="1F5050E6" w:rsidR="003D509C" w:rsidRDefault="0051000F" w:rsidP="003D509C">
      <w:pPr>
        <w:pStyle w:val="NormalWeb"/>
        <w:shd w:val="clear" w:color="auto" w:fill="FFFFFF"/>
        <w:rPr>
          <w:rFonts w:ascii="TimesNewRomanPSMT" w:hAnsi="TimesNewRomanPSMT" w:cs="TimesNewRomanPSMT"/>
        </w:rPr>
      </w:pPr>
      <w:r>
        <w:rPr>
          <w:rFonts w:ascii="TimesNewRomanPS" w:hAnsi="TimesNewRomanPS"/>
          <w:b/>
          <w:bCs/>
        </w:rPr>
        <w:t>8</w:t>
      </w:r>
      <w:r w:rsidR="003D509C">
        <w:rPr>
          <w:rFonts w:ascii="TimesNewRomanPS" w:hAnsi="TimesNewRomanPS"/>
          <w:b/>
          <w:bCs/>
        </w:rPr>
        <w:t xml:space="preserve">: </w:t>
      </w:r>
      <w:r w:rsidR="00DC46E1">
        <w:rPr>
          <w:rFonts w:ascii="TimesNewRomanPS" w:hAnsi="TimesNewRomanPS"/>
          <w:b/>
          <w:bCs/>
        </w:rPr>
        <w:t>Reading week</w:t>
      </w:r>
    </w:p>
    <w:p w14:paraId="51E93497" w14:textId="26B64DBA" w:rsidR="0051000F" w:rsidRPr="0051000F" w:rsidRDefault="0051000F" w:rsidP="003D509C">
      <w:pPr>
        <w:pStyle w:val="NormalWeb"/>
        <w:shd w:val="clear" w:color="auto" w:fill="FFFFFF"/>
      </w:pPr>
      <w:r>
        <w:rPr>
          <w:rFonts w:ascii="TimesNewRomanPSMT" w:hAnsi="TimesNewRomanPSMT" w:cs="TimesNewRomanPSMT"/>
          <w:b/>
        </w:rPr>
        <w:t xml:space="preserve">9. </w:t>
      </w:r>
      <w:r w:rsidR="00DC46E1">
        <w:rPr>
          <w:rFonts w:ascii="TimesNewRomanPSMT" w:hAnsi="TimesNewRomanPSMT" w:cs="TimesNewRomanPSMT"/>
        </w:rPr>
        <w:t>(05/11/18) Presenting an Argument: Implicit vs Explicit Arguments and Balancing Analytical and Descriptive Writing (SH)</w:t>
      </w:r>
    </w:p>
    <w:p w14:paraId="5828A79F" w14:textId="333D53FC" w:rsidR="00413B42" w:rsidRDefault="003D509C" w:rsidP="003D509C">
      <w:pPr>
        <w:pStyle w:val="NormalWeb"/>
        <w:shd w:val="clear" w:color="auto" w:fill="FFFFFF"/>
        <w:rPr>
          <w:rFonts w:ascii="TimesNewRomanPS" w:hAnsi="TimesNewRomanPS"/>
          <w:b/>
          <w:bCs/>
        </w:rPr>
      </w:pPr>
      <w:r>
        <w:rPr>
          <w:rFonts w:ascii="TimesNewRomanPS" w:hAnsi="TimesNewRomanPS"/>
          <w:b/>
          <w:bCs/>
          <w:sz w:val="22"/>
          <w:szCs w:val="22"/>
        </w:rPr>
        <w:t>1</w:t>
      </w:r>
      <w:r w:rsidR="009C10B1">
        <w:rPr>
          <w:rFonts w:ascii="TimesNewRomanPS" w:hAnsi="TimesNewRomanPS"/>
          <w:b/>
          <w:bCs/>
          <w:sz w:val="22"/>
          <w:szCs w:val="22"/>
        </w:rPr>
        <w:t>0</w:t>
      </w:r>
      <w:r>
        <w:rPr>
          <w:rFonts w:ascii="TimesNewRomanPS" w:hAnsi="TimesNewRomanPS"/>
          <w:b/>
          <w:bCs/>
        </w:rPr>
        <w:t xml:space="preserve">: </w:t>
      </w:r>
      <w:r>
        <w:rPr>
          <w:rFonts w:ascii="TimesNewRomanPSMT" w:hAnsi="TimesNewRomanPSMT" w:cs="TimesNewRomanPSMT"/>
        </w:rPr>
        <w:t>(</w:t>
      </w:r>
      <w:r w:rsidR="00DC46E1">
        <w:rPr>
          <w:rFonts w:ascii="TimesNewRomanPSMT" w:hAnsi="TimesNewRomanPSMT" w:cs="TimesNewRomanPSMT"/>
        </w:rPr>
        <w:t>12</w:t>
      </w:r>
      <w:r>
        <w:rPr>
          <w:rFonts w:ascii="TimesNewRomanPSMT" w:hAnsi="TimesNewRomanPSMT" w:cs="TimesNewRomanPSMT"/>
        </w:rPr>
        <w:t>/</w:t>
      </w:r>
      <w:r w:rsidR="00DC46E1">
        <w:rPr>
          <w:rFonts w:ascii="TimesNewRomanPSMT" w:hAnsi="TimesNewRomanPSMT" w:cs="TimesNewRomanPSMT"/>
        </w:rPr>
        <w:t>11/</w:t>
      </w:r>
      <w:r w:rsidR="00F17645">
        <w:rPr>
          <w:rFonts w:ascii="TimesNewRomanPSMT" w:hAnsi="TimesNewRomanPSMT" w:cs="TimesNewRomanPSMT"/>
        </w:rPr>
        <w:t xml:space="preserve">18) </w:t>
      </w:r>
      <w:r>
        <w:rPr>
          <w:rFonts w:ascii="TimesNewRomanPSMT" w:hAnsi="TimesNewRomanPSMT" w:cs="TimesNewRomanPSMT"/>
        </w:rPr>
        <w:t>Academic Language and Phrasing (SH)</w:t>
      </w:r>
      <w:r>
        <w:rPr>
          <w:rFonts w:ascii="TimesNewRomanPSMT" w:hAnsi="TimesNewRomanPSMT" w:cs="TimesNewRomanPSMT"/>
        </w:rPr>
        <w:br/>
      </w:r>
    </w:p>
    <w:p w14:paraId="4E1913CB" w14:textId="27CEA172" w:rsidR="00E939AC" w:rsidRDefault="003D509C" w:rsidP="003D509C">
      <w:pPr>
        <w:pStyle w:val="NormalWeb"/>
        <w:shd w:val="clear" w:color="auto" w:fill="FFFFFF"/>
        <w:rPr>
          <w:rFonts w:ascii="TimesNewRomanPS" w:hAnsi="TimesNewRomanPS"/>
          <w:b/>
          <w:bCs/>
        </w:rPr>
      </w:pPr>
      <w:r>
        <w:rPr>
          <w:rFonts w:ascii="TimesNewRomanPS" w:hAnsi="TimesNewRomanPS"/>
          <w:b/>
          <w:bCs/>
        </w:rPr>
        <w:t>1</w:t>
      </w:r>
      <w:r w:rsidR="009C10B1">
        <w:rPr>
          <w:rFonts w:ascii="TimesNewRomanPS" w:hAnsi="TimesNewRomanPS"/>
          <w:b/>
          <w:bCs/>
        </w:rPr>
        <w:t>1</w:t>
      </w:r>
      <w:r>
        <w:rPr>
          <w:rFonts w:ascii="TimesNewRomanPS" w:hAnsi="TimesNewRomanPS"/>
          <w:b/>
          <w:bCs/>
        </w:rPr>
        <w:t xml:space="preserve">: </w:t>
      </w:r>
      <w:r>
        <w:rPr>
          <w:rFonts w:ascii="TimesNewRomanPSMT" w:hAnsi="TimesNewRomanPSMT" w:cs="TimesNewRomanPSMT"/>
        </w:rPr>
        <w:t>(</w:t>
      </w:r>
      <w:r w:rsidR="00DC46E1">
        <w:rPr>
          <w:rFonts w:ascii="TimesNewRomanPSMT" w:hAnsi="TimesNewRomanPSMT" w:cs="TimesNewRomanPSMT"/>
        </w:rPr>
        <w:t>19</w:t>
      </w:r>
      <w:r w:rsidR="0028503C">
        <w:rPr>
          <w:rFonts w:ascii="TimesNewRomanPSMT" w:hAnsi="TimesNewRomanPSMT" w:cs="TimesNewRomanPSMT"/>
        </w:rPr>
        <w:t>/</w:t>
      </w:r>
      <w:r w:rsidR="00F17645">
        <w:rPr>
          <w:rFonts w:ascii="TimesNewRomanPSMT" w:hAnsi="TimesNewRomanPSMT" w:cs="TimesNewRomanPSMT"/>
        </w:rPr>
        <w:t>0</w:t>
      </w:r>
      <w:r w:rsidR="00DC46E1">
        <w:rPr>
          <w:rFonts w:ascii="TimesNewRomanPSMT" w:hAnsi="TimesNewRomanPSMT" w:cs="TimesNewRomanPSMT"/>
        </w:rPr>
        <w:t>11</w:t>
      </w:r>
      <w:r w:rsidR="00F17645">
        <w:rPr>
          <w:rFonts w:ascii="TimesNewRomanPSMT" w:hAnsi="TimesNewRomanPSMT" w:cs="TimesNewRomanPSMT"/>
        </w:rPr>
        <w:t xml:space="preserve">/18) </w:t>
      </w:r>
      <w:r>
        <w:rPr>
          <w:rFonts w:ascii="TimesNewRomanPSMT" w:hAnsi="TimesNewRomanPSMT" w:cs="TimesNewRomanPSMT"/>
        </w:rPr>
        <w:t>Editing and Proofreading (AM)</w:t>
      </w:r>
      <w:r>
        <w:rPr>
          <w:rFonts w:ascii="TimesNewRomanPSMT" w:hAnsi="TimesNewRomanPSMT" w:cs="TimesNewRomanPSMT"/>
        </w:rPr>
        <w:br/>
      </w:r>
    </w:p>
    <w:p w14:paraId="1702465A" w14:textId="02252E88" w:rsidR="003D509C" w:rsidRPr="00E939AC" w:rsidRDefault="003D509C" w:rsidP="003D509C">
      <w:pPr>
        <w:pStyle w:val="NormalWeb"/>
        <w:shd w:val="clear" w:color="auto" w:fill="FFFFFF"/>
        <w:rPr>
          <w:rFonts w:ascii="TimesNewRomanPS" w:hAnsi="TimesNewRomanPS"/>
          <w:b/>
          <w:bCs/>
        </w:rPr>
      </w:pPr>
      <w:r>
        <w:rPr>
          <w:rFonts w:ascii="TimesNewRomanPS" w:hAnsi="TimesNewRomanPS"/>
          <w:b/>
          <w:bCs/>
        </w:rPr>
        <w:t>1</w:t>
      </w:r>
      <w:r w:rsidR="009C10B1">
        <w:rPr>
          <w:rFonts w:ascii="TimesNewRomanPS" w:hAnsi="TimesNewRomanPS"/>
          <w:b/>
          <w:bCs/>
        </w:rPr>
        <w:t>2</w:t>
      </w:r>
      <w:r>
        <w:rPr>
          <w:rFonts w:ascii="TimesNewRomanPS" w:hAnsi="TimesNewRomanPS"/>
          <w:b/>
          <w:bCs/>
        </w:rPr>
        <w:t xml:space="preserve">: </w:t>
      </w:r>
      <w:r>
        <w:rPr>
          <w:rFonts w:ascii="TimesNewRomanPSMT" w:hAnsi="TimesNewRomanPSMT" w:cs="TimesNewRomanPSMT"/>
        </w:rPr>
        <w:t>(</w:t>
      </w:r>
      <w:r w:rsidR="00DC46E1">
        <w:rPr>
          <w:rFonts w:ascii="TimesNewRomanPSMT" w:hAnsi="TimesNewRomanPSMT" w:cs="TimesNewRomanPSMT"/>
        </w:rPr>
        <w:t>26</w:t>
      </w:r>
      <w:r w:rsidR="0028503C">
        <w:rPr>
          <w:rFonts w:ascii="TimesNewRomanPSMT" w:hAnsi="TimesNewRomanPSMT" w:cs="TimesNewRomanPSMT"/>
        </w:rPr>
        <w:t>/</w:t>
      </w:r>
      <w:r w:rsidR="00DC46E1">
        <w:rPr>
          <w:rFonts w:ascii="TimesNewRomanPSMT" w:hAnsi="TimesNewRomanPSMT" w:cs="TimesNewRomanPSMT"/>
        </w:rPr>
        <w:t>11</w:t>
      </w:r>
      <w:r w:rsidR="00F17645">
        <w:rPr>
          <w:rFonts w:ascii="TimesNewRomanPSMT" w:hAnsi="TimesNewRomanPSMT" w:cs="TimesNewRomanPSMT"/>
        </w:rPr>
        <w:t xml:space="preserve">/18) </w:t>
      </w:r>
      <w:r>
        <w:rPr>
          <w:rFonts w:ascii="TimesNewRomanPSMT" w:hAnsi="TimesNewRomanPSMT" w:cs="TimesNewRomanPSMT"/>
        </w:rPr>
        <w:t xml:space="preserve">Peer Reviewing and Drafting (SH) </w:t>
      </w:r>
    </w:p>
    <w:p w14:paraId="4D519C5F" w14:textId="77777777" w:rsidR="003D509C" w:rsidRDefault="003D509C" w:rsidP="003D509C">
      <w:pPr>
        <w:pStyle w:val="NormalWeb"/>
        <w:shd w:val="clear" w:color="auto" w:fill="FFFFFF"/>
      </w:pPr>
      <w:r>
        <w:rPr>
          <w:rFonts w:ascii="TimesNewRomanPS" w:hAnsi="TimesNewRomanPS"/>
          <w:b/>
          <w:bCs/>
        </w:rPr>
        <w:t xml:space="preserve">Essential Texts </w:t>
      </w:r>
    </w:p>
    <w:p w14:paraId="4EE8D2C2" w14:textId="1D700271" w:rsidR="003D509C" w:rsidRDefault="003D509C" w:rsidP="003D509C">
      <w:pPr>
        <w:pStyle w:val="NormalWeb"/>
        <w:shd w:val="clear" w:color="auto" w:fill="FFFFFF"/>
      </w:pPr>
      <w:r>
        <w:rPr>
          <w:rFonts w:ascii="TimesNewRomanPSMT" w:hAnsi="TimesNewRomanPSMT" w:cs="TimesNewRomanPSMT"/>
        </w:rPr>
        <w:t>Referencing Guide used by Individual Disciplines:</w:t>
      </w:r>
      <w:r>
        <w:rPr>
          <w:rFonts w:ascii="TimesNewRomanPSMT" w:hAnsi="TimesNewRomanPSMT" w:cs="TimesNewRomanPSMT"/>
        </w:rPr>
        <w:br/>
      </w:r>
      <w:r>
        <w:rPr>
          <w:rFonts w:ascii="TimesNewRomanPS" w:hAnsi="TimesNewRomanPS"/>
          <w:i/>
          <w:iCs/>
        </w:rPr>
        <w:t xml:space="preserve">MLA Handbook for Writers of Research Papers </w:t>
      </w:r>
      <w:r>
        <w:rPr>
          <w:rFonts w:ascii="TimesNewRomanPSMT" w:hAnsi="TimesNewRomanPSMT" w:cs="TimesNewRomanPSMT"/>
        </w:rPr>
        <w:t>8th Edition (Modern Language Association of America)</w:t>
      </w:r>
      <w:r>
        <w:rPr>
          <w:rFonts w:ascii="TimesNewRomanPSMT" w:hAnsi="TimesNewRomanPSMT" w:cs="TimesNewRomanPSMT"/>
        </w:rPr>
        <w:br/>
        <w:t>A Style Guide:</w:t>
      </w:r>
      <w:r>
        <w:rPr>
          <w:rFonts w:ascii="TimesNewRomanPSMT" w:hAnsi="TimesNewRomanPSMT" w:cs="TimesNewRomanPSMT"/>
        </w:rPr>
        <w:br/>
      </w:r>
      <w:r>
        <w:rPr>
          <w:rFonts w:ascii="TimesNewRomanPS" w:hAnsi="TimesNewRomanPS"/>
          <w:i/>
          <w:iCs/>
        </w:rPr>
        <w:t xml:space="preserve">Writing Essays - A Guide for Students in English and the Humanities. </w:t>
      </w:r>
      <w:r w:rsidR="00374AF4">
        <w:rPr>
          <w:rFonts w:ascii="TimesNewRomanPSMT" w:hAnsi="TimesNewRomanPSMT" w:cs="TimesNewRomanPSMT"/>
        </w:rPr>
        <w:t xml:space="preserve">Richard </w:t>
      </w:r>
      <w:proofErr w:type="spellStart"/>
      <w:r w:rsidR="00374AF4">
        <w:rPr>
          <w:rFonts w:ascii="TimesNewRomanPSMT" w:hAnsi="TimesNewRomanPSMT" w:cs="TimesNewRomanPSMT"/>
        </w:rPr>
        <w:t>Mar</w:t>
      </w:r>
      <w:r>
        <w:rPr>
          <w:rFonts w:ascii="TimesNewRomanPSMT" w:hAnsi="TimesNewRomanPSMT" w:cs="TimesNewRomanPSMT"/>
        </w:rPr>
        <w:t>graf</w:t>
      </w:r>
      <w:proofErr w:type="spellEnd"/>
      <w:r>
        <w:rPr>
          <w:rFonts w:ascii="TimesNewRomanPSMT" w:hAnsi="TimesNewRomanPSMT" w:cs="TimesNewRomanPSMT"/>
        </w:rPr>
        <w:t xml:space="preserve"> Turley (Routledge)</w:t>
      </w:r>
      <w:r>
        <w:rPr>
          <w:rFonts w:ascii="TimesNewRomanPSMT" w:hAnsi="TimesNewRomanPSMT" w:cs="TimesNewRomanPSMT"/>
        </w:rPr>
        <w:br/>
      </w:r>
      <w:r>
        <w:rPr>
          <w:rFonts w:ascii="TimesNewRomanPS" w:hAnsi="TimesNewRomanPS"/>
          <w:i/>
          <w:iCs/>
        </w:rPr>
        <w:t>The Elements of Academic Style: Writing for the Humanities</w:t>
      </w:r>
      <w:r>
        <w:rPr>
          <w:rFonts w:ascii="TimesNewRomanPSMT" w:hAnsi="TimesNewRomanPSMT" w:cs="TimesNewRomanPSMT"/>
        </w:rPr>
        <w:t xml:space="preserve">. Eric </w:t>
      </w:r>
      <w:proofErr w:type="spellStart"/>
      <w:r>
        <w:rPr>
          <w:rFonts w:ascii="TimesNewRomanPSMT" w:hAnsi="TimesNewRomanPSMT" w:cs="TimesNewRomanPSMT"/>
        </w:rPr>
        <w:t>Hayot</w:t>
      </w:r>
      <w:proofErr w:type="spellEnd"/>
      <w:r>
        <w:rPr>
          <w:rFonts w:ascii="TimesNewRomanPSMT" w:hAnsi="TimesNewRomanPSMT" w:cs="TimesNewRomanPSMT"/>
        </w:rPr>
        <w:t xml:space="preserve"> (Columbia University Press).</w:t>
      </w:r>
      <w:r>
        <w:rPr>
          <w:rFonts w:ascii="TimesNewRomanPSMT" w:hAnsi="TimesNewRomanPSMT" w:cs="TimesNewRomanPSMT"/>
        </w:rPr>
        <w:br/>
      </w:r>
      <w:r>
        <w:rPr>
          <w:rFonts w:ascii="TimesNewRomanPS" w:hAnsi="TimesNewRomanPS"/>
          <w:i/>
          <w:iCs/>
        </w:rPr>
        <w:t xml:space="preserve">How to Write: Tools for the Craft, </w:t>
      </w:r>
      <w:r>
        <w:rPr>
          <w:rFonts w:ascii="TimesNewRomanPSMT" w:hAnsi="TimesNewRomanPSMT" w:cs="TimesNewRomanPSMT"/>
        </w:rPr>
        <w:t xml:space="preserve">Robert Mohr (UCD Press). </w:t>
      </w:r>
    </w:p>
    <w:p w14:paraId="54EA4C0B" w14:textId="77777777" w:rsidR="003D509C" w:rsidRDefault="003D509C" w:rsidP="003D509C">
      <w:pPr>
        <w:pStyle w:val="NormalWeb"/>
        <w:shd w:val="clear" w:color="auto" w:fill="FFFFFF"/>
      </w:pPr>
      <w:r>
        <w:rPr>
          <w:rFonts w:ascii="TimesNewRomanPS" w:hAnsi="TimesNewRomanPS"/>
          <w:b/>
          <w:bCs/>
        </w:rPr>
        <w:t xml:space="preserve">Assignment Due Dates </w:t>
      </w:r>
    </w:p>
    <w:p w14:paraId="3B742D98" w14:textId="7273008D" w:rsidR="003D509C" w:rsidRDefault="00413B42" w:rsidP="003D509C">
      <w:pPr>
        <w:pStyle w:val="NormalWeb"/>
        <w:shd w:val="clear" w:color="auto" w:fill="FFFFFF"/>
        <w:rPr>
          <w:rFonts w:ascii="TimesNewRomanPSMT" w:hAnsi="TimesNewRomanPSMT" w:cs="TimesNewRomanPSMT"/>
        </w:rPr>
      </w:pPr>
      <w:r>
        <w:rPr>
          <w:rFonts w:ascii="TimesNewRomanPSMT" w:hAnsi="TimesNewRomanPSMT" w:cs="TimesNewRomanPSMT"/>
        </w:rPr>
        <w:lastRenderedPageBreak/>
        <w:t xml:space="preserve">Introduction/proposal week </w:t>
      </w:r>
      <w:r w:rsidR="00810591">
        <w:rPr>
          <w:rFonts w:ascii="TimesNewRomanPSMT" w:hAnsi="TimesNewRomanPSMT" w:cs="TimesNewRomanPSMT"/>
        </w:rPr>
        <w:t>4</w:t>
      </w:r>
      <w:r w:rsidR="003D509C">
        <w:rPr>
          <w:rFonts w:ascii="TimesNewRomanPSMT" w:hAnsi="TimesNewRomanPSMT" w:cs="TimesNewRomanPSMT"/>
        </w:rPr>
        <w:t xml:space="preserve"> M</w:t>
      </w:r>
      <w:r w:rsidR="00C54F33">
        <w:rPr>
          <w:rFonts w:ascii="TimesNewRomanPSMT" w:hAnsi="TimesNewRomanPSMT" w:cs="TimesNewRomanPSMT"/>
        </w:rPr>
        <w:t>id-term Version 1</w:t>
      </w:r>
      <w:r w:rsidR="003D509C">
        <w:rPr>
          <w:rFonts w:ascii="TimesNewRomanPSMT" w:hAnsi="TimesNewRomanPSMT" w:cs="TimesNewRomanPSMT"/>
        </w:rPr>
        <w:t xml:space="preserve"> </w:t>
      </w:r>
      <w:r>
        <w:rPr>
          <w:rFonts w:ascii="TimesNewRomanPSMT" w:hAnsi="TimesNewRomanPSMT" w:cs="TimesNewRomanPSMT"/>
        </w:rPr>
        <w:t xml:space="preserve">week </w:t>
      </w:r>
      <w:r w:rsidR="00810591">
        <w:rPr>
          <w:rFonts w:ascii="TimesNewRomanPSMT" w:hAnsi="TimesNewRomanPSMT" w:cs="TimesNewRomanPSMT"/>
        </w:rPr>
        <w:t>9</w:t>
      </w:r>
      <w:r w:rsidR="003D509C">
        <w:rPr>
          <w:rFonts w:ascii="TimesNewRomanPSMT" w:hAnsi="TimesNewRomanPSMT" w:cs="TimesNewRomanPSMT"/>
        </w:rPr>
        <w:t xml:space="preserve"> Final Essay. </w:t>
      </w:r>
      <w:r>
        <w:rPr>
          <w:rFonts w:ascii="TimesNewRomanPSMT" w:hAnsi="TimesNewRomanPSMT" w:cs="TimesNewRomanPSMT"/>
        </w:rPr>
        <w:t>Week 12</w:t>
      </w:r>
    </w:p>
    <w:p w14:paraId="443337E7" w14:textId="1234E4FA" w:rsidR="00413B42" w:rsidRDefault="00C54F33" w:rsidP="003D509C">
      <w:pPr>
        <w:pStyle w:val="NormalWeb"/>
        <w:shd w:val="clear" w:color="auto" w:fill="FFFFFF"/>
        <w:rPr>
          <w:rFonts w:ascii="TimesNewRomanPSMT" w:hAnsi="TimesNewRomanPSMT" w:cs="TimesNewRomanPSMT"/>
        </w:rPr>
      </w:pPr>
      <w:r>
        <w:rPr>
          <w:rFonts w:ascii="TimesNewRomanPSMT" w:hAnsi="TimesNewRomanPSMT" w:cs="TimesNewRomanPSMT"/>
        </w:rPr>
        <w:t xml:space="preserve">Continuous Assessment </w:t>
      </w:r>
      <w:r w:rsidR="00413B42">
        <w:rPr>
          <w:rFonts w:ascii="TimesNewRomanPSMT" w:hAnsi="TimesNewRomanPSMT" w:cs="TimesNewRomanPSMT"/>
        </w:rPr>
        <w:t>weekly worksheets</w:t>
      </w:r>
    </w:p>
    <w:p w14:paraId="3FAA8725" w14:textId="0DB11E66" w:rsidR="00B27306" w:rsidRDefault="00810591" w:rsidP="003D509C">
      <w:pPr>
        <w:pStyle w:val="NormalWeb"/>
        <w:shd w:val="clear" w:color="auto" w:fill="FFFFFF"/>
      </w:pPr>
      <w:r>
        <w:rPr>
          <w:rFonts w:ascii="TimesNewRomanPSMT" w:hAnsi="TimesNewRomanPSMT" w:cs="TimesNewRomanPSMT"/>
        </w:rPr>
        <w:t xml:space="preserve">Office Hour </w:t>
      </w:r>
      <w:r w:rsidR="00E67B2B">
        <w:rPr>
          <w:rFonts w:ascii="TimesNewRomanPSMT" w:hAnsi="TimesNewRomanPSMT" w:cs="TimesNewRomanPSMT"/>
        </w:rPr>
        <w:t xml:space="preserve">Thursday 12 – 1 pm </w:t>
      </w:r>
    </w:p>
    <w:p w14:paraId="7305F3C3" w14:textId="77777777" w:rsidR="00F563D9" w:rsidRDefault="00915149"/>
    <w:sectPr w:rsidR="00F563D9" w:rsidSect="00FD237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09C"/>
    <w:rsid w:val="00096FCD"/>
    <w:rsid w:val="000A0961"/>
    <w:rsid w:val="000E0AD6"/>
    <w:rsid w:val="001620C4"/>
    <w:rsid w:val="001A28F7"/>
    <w:rsid w:val="0028503C"/>
    <w:rsid w:val="002C2844"/>
    <w:rsid w:val="00356EB1"/>
    <w:rsid w:val="00374AF4"/>
    <w:rsid w:val="003D509C"/>
    <w:rsid w:val="003E7CC3"/>
    <w:rsid w:val="00413B42"/>
    <w:rsid w:val="0051000F"/>
    <w:rsid w:val="00727317"/>
    <w:rsid w:val="00797234"/>
    <w:rsid w:val="007D3F3D"/>
    <w:rsid w:val="00810591"/>
    <w:rsid w:val="00810980"/>
    <w:rsid w:val="008932F8"/>
    <w:rsid w:val="008935EF"/>
    <w:rsid w:val="008B70F3"/>
    <w:rsid w:val="008C4A98"/>
    <w:rsid w:val="00915149"/>
    <w:rsid w:val="009C10B1"/>
    <w:rsid w:val="00A6636A"/>
    <w:rsid w:val="00B27306"/>
    <w:rsid w:val="00B63999"/>
    <w:rsid w:val="00B658A3"/>
    <w:rsid w:val="00BA3B99"/>
    <w:rsid w:val="00C11FFF"/>
    <w:rsid w:val="00C23878"/>
    <w:rsid w:val="00C54F33"/>
    <w:rsid w:val="00C6560F"/>
    <w:rsid w:val="00D44BE9"/>
    <w:rsid w:val="00DC46E1"/>
    <w:rsid w:val="00E4161E"/>
    <w:rsid w:val="00E67B2B"/>
    <w:rsid w:val="00E939AC"/>
    <w:rsid w:val="00EE2E78"/>
    <w:rsid w:val="00F04422"/>
    <w:rsid w:val="00F17645"/>
    <w:rsid w:val="00FD2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F4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09C"/>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06300">
      <w:bodyDiv w:val="1"/>
      <w:marLeft w:val="0"/>
      <w:marRight w:val="0"/>
      <w:marTop w:val="0"/>
      <w:marBottom w:val="0"/>
      <w:divBdr>
        <w:top w:val="none" w:sz="0" w:space="0" w:color="auto"/>
        <w:left w:val="none" w:sz="0" w:space="0" w:color="auto"/>
        <w:bottom w:val="none" w:sz="0" w:space="0" w:color="auto"/>
        <w:right w:val="none" w:sz="0" w:space="0" w:color="auto"/>
      </w:divBdr>
      <w:divsChild>
        <w:div w:id="840268547">
          <w:marLeft w:val="0"/>
          <w:marRight w:val="0"/>
          <w:marTop w:val="0"/>
          <w:marBottom w:val="0"/>
          <w:divBdr>
            <w:top w:val="none" w:sz="0" w:space="0" w:color="auto"/>
            <w:left w:val="none" w:sz="0" w:space="0" w:color="auto"/>
            <w:bottom w:val="none" w:sz="0" w:space="0" w:color="auto"/>
            <w:right w:val="none" w:sz="0" w:space="0" w:color="auto"/>
          </w:divBdr>
          <w:divsChild>
            <w:div w:id="147022576">
              <w:marLeft w:val="0"/>
              <w:marRight w:val="0"/>
              <w:marTop w:val="0"/>
              <w:marBottom w:val="0"/>
              <w:divBdr>
                <w:top w:val="none" w:sz="0" w:space="0" w:color="auto"/>
                <w:left w:val="none" w:sz="0" w:space="0" w:color="auto"/>
                <w:bottom w:val="none" w:sz="0" w:space="0" w:color="auto"/>
                <w:right w:val="none" w:sz="0" w:space="0" w:color="auto"/>
              </w:divBdr>
              <w:divsChild>
                <w:div w:id="262230867">
                  <w:marLeft w:val="0"/>
                  <w:marRight w:val="0"/>
                  <w:marTop w:val="0"/>
                  <w:marBottom w:val="0"/>
                  <w:divBdr>
                    <w:top w:val="none" w:sz="0" w:space="0" w:color="auto"/>
                    <w:left w:val="none" w:sz="0" w:space="0" w:color="auto"/>
                    <w:bottom w:val="none" w:sz="0" w:space="0" w:color="auto"/>
                    <w:right w:val="none" w:sz="0" w:space="0" w:color="auto"/>
                  </w:divBdr>
                  <w:divsChild>
                    <w:div w:id="1637950293">
                      <w:marLeft w:val="0"/>
                      <w:marRight w:val="0"/>
                      <w:marTop w:val="0"/>
                      <w:marBottom w:val="0"/>
                      <w:divBdr>
                        <w:top w:val="none" w:sz="0" w:space="0" w:color="auto"/>
                        <w:left w:val="none" w:sz="0" w:space="0" w:color="auto"/>
                        <w:bottom w:val="none" w:sz="0" w:space="0" w:color="auto"/>
                        <w:right w:val="none" w:sz="0" w:space="0" w:color="auto"/>
                      </w:divBdr>
                    </w:div>
                  </w:divsChild>
                </w:div>
                <w:div w:id="2078432306">
                  <w:marLeft w:val="0"/>
                  <w:marRight w:val="0"/>
                  <w:marTop w:val="0"/>
                  <w:marBottom w:val="0"/>
                  <w:divBdr>
                    <w:top w:val="none" w:sz="0" w:space="0" w:color="auto"/>
                    <w:left w:val="none" w:sz="0" w:space="0" w:color="auto"/>
                    <w:bottom w:val="none" w:sz="0" w:space="0" w:color="auto"/>
                    <w:right w:val="none" w:sz="0" w:space="0" w:color="auto"/>
                  </w:divBdr>
                  <w:divsChild>
                    <w:div w:id="10866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67940">
          <w:marLeft w:val="0"/>
          <w:marRight w:val="0"/>
          <w:marTop w:val="0"/>
          <w:marBottom w:val="0"/>
          <w:divBdr>
            <w:top w:val="none" w:sz="0" w:space="0" w:color="auto"/>
            <w:left w:val="none" w:sz="0" w:space="0" w:color="auto"/>
            <w:bottom w:val="none" w:sz="0" w:space="0" w:color="auto"/>
            <w:right w:val="none" w:sz="0" w:space="0" w:color="auto"/>
          </w:divBdr>
          <w:divsChild>
            <w:div w:id="1232691813">
              <w:marLeft w:val="0"/>
              <w:marRight w:val="0"/>
              <w:marTop w:val="0"/>
              <w:marBottom w:val="0"/>
              <w:divBdr>
                <w:top w:val="none" w:sz="0" w:space="0" w:color="auto"/>
                <w:left w:val="none" w:sz="0" w:space="0" w:color="auto"/>
                <w:bottom w:val="none" w:sz="0" w:space="0" w:color="auto"/>
                <w:right w:val="none" w:sz="0" w:space="0" w:color="auto"/>
              </w:divBdr>
              <w:divsChild>
                <w:div w:id="606278919">
                  <w:marLeft w:val="0"/>
                  <w:marRight w:val="0"/>
                  <w:marTop w:val="0"/>
                  <w:marBottom w:val="0"/>
                  <w:divBdr>
                    <w:top w:val="none" w:sz="0" w:space="0" w:color="auto"/>
                    <w:left w:val="none" w:sz="0" w:space="0" w:color="auto"/>
                    <w:bottom w:val="none" w:sz="0" w:space="0" w:color="auto"/>
                    <w:right w:val="none" w:sz="0" w:space="0" w:color="auto"/>
                  </w:divBdr>
                  <w:divsChild>
                    <w:div w:id="105088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McNamara</dc:creator>
  <cp:keywords/>
  <dc:description/>
  <cp:lastModifiedBy>hgow</cp:lastModifiedBy>
  <cp:revision>2</cp:revision>
  <dcterms:created xsi:type="dcterms:W3CDTF">2018-09-05T12:19:00Z</dcterms:created>
  <dcterms:modified xsi:type="dcterms:W3CDTF">2018-09-05T12:19:00Z</dcterms:modified>
</cp:coreProperties>
</file>